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</w:tblGrid>
      <w:tr>
        <w:tblPrEx>
          <w:tblLayout w:type="fixed"/>
        </w:tblPrEx>
        <w:tc>
          <w:tcPr>
            <w:tcW w:w="6" w:type="dxa"/>
          </w:tcPr>
          <w:p>
            <w:pPr>
              <w:widowControl/>
              <w:spacing w:line="384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6" w:type="dxa"/>
          </w:tcPr>
          <w:p>
            <w:pPr>
              <w:widowControl/>
              <w:spacing w:line="384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86" w:lineRule="atLeast"/>
        <w:jc w:val="center"/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</w:rPr>
        <w:t>习近平书单</w:t>
      </w:r>
    </w:p>
    <w:p>
      <w:pPr>
        <w:widowControl/>
        <w:shd w:val="clear" w:color="auto" w:fill="FFFFFF"/>
        <w:spacing w:after="100" w:line="385" w:lineRule="atLeast"/>
        <w:ind w:firstLine="480"/>
        <w:jc w:val="left"/>
        <w:rPr>
          <w:rFonts w:hint="eastAsia" w:ascii="宋体" w:hAnsi="宋体" w:eastAsia="宋体" w:cs="宋体"/>
          <w:color w:val="595959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595959"/>
          <w:kern w:val="0"/>
          <w:sz w:val="28"/>
          <w:szCs w:val="28"/>
        </w:rPr>
        <w:t>【编者按】习近平总书记在很多场合都谈到，“我爱好挺多，最大的爱好是读书”。读书已成为他的一种生活方式，并且，也正是通过对各种文学、历史、哲学、政治、经济等等经典的“虚心涵泳，切己省察”，才使得新时期党和国家的各项事业迈上新台阶，呈现新气象。以下我们根据公开出版物和习近平总书记在各个场合中的讲话，并且结合其它的相关资料，整理出一个相对完整的“习近平书单”供全校党员同志参照学习。我们希望以此为契机，号召全校共产党员读好书、读经典，进一步将我校“两学一做”学习教育引向深入。</w:t>
      </w:r>
    </w:p>
    <w:p>
      <w:pPr>
        <w:widowControl/>
        <w:shd w:val="clear" w:color="auto" w:fill="FFFFFF"/>
        <w:spacing w:after="100" w:line="385" w:lineRule="atLeast"/>
        <w:ind w:firstLine="480"/>
        <w:jc w:val="center"/>
        <w:rPr>
          <w:rFonts w:hint="eastAsia" w:ascii="宋体" w:hAnsi="宋体" w:eastAsia="宋体" w:cs="宋体"/>
          <w:color w:val="595959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595959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after="100" w:line="385" w:lineRule="atLeast"/>
        <w:ind w:firstLine="480"/>
        <w:jc w:val="center"/>
        <w:rPr>
          <w:rFonts w:hint="eastAsia" w:ascii="宋体" w:hAnsi="宋体" w:eastAsia="宋体" w:cs="宋体"/>
          <w:color w:val="595959"/>
          <w:kern w:val="0"/>
          <w:sz w:val="28"/>
          <w:szCs w:val="28"/>
        </w:rPr>
      </w:pPr>
      <w:r>
        <w:rPr>
          <w:rFonts w:hint="eastAsia" w:ascii="幼圆" w:hAnsi="宋体" w:eastAsia="幼圆" w:cs="宋体"/>
          <w:b/>
          <w:bCs/>
          <w:color w:val="595959"/>
          <w:kern w:val="0"/>
          <w:sz w:val="28"/>
          <w:szCs w:val="28"/>
        </w:rPr>
        <w:t>— 文学 —</w:t>
      </w:r>
    </w:p>
    <w:tbl>
      <w:tblPr>
        <w:tblStyle w:val="6"/>
        <w:tblW w:w="83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3335"/>
        <w:gridCol w:w="1941"/>
        <w:gridCol w:w="14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书名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国别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《诗经》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《说苑》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刘向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《文心雕龙》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刘勰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《东坡乐府》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苏东坡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《东周列国志》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冯梦龙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《古诗源》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沈德潜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《红楼梦》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曹雪芹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《人间词话》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王国维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《创业史》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柳青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《呐喊》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鲁迅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《彷徨》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鲁迅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《故事新编》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鲁迅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《贾大山文学作品全集》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贾大山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《长征》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王树增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《贾平凹文集》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贾平凹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《暗算》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麦家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《风声》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麦家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《叶普盖尼奥·涅金》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普希金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《上尉的女儿》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普希金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《大炮和风帆》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克雷洛夫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《死魂灵》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果戈里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《钦差大臣》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果戈里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《当代英雄》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莱蒙托夫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《猎人笔记》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屠格涅夫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《大门前的沉思》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涅克拉索夫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《战争与和平》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托尔斯泰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《罪与罚》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陀思妥耶夫斯基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《怎么办？》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车尔尼雪夫斯基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《套中人》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契诃夫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《变色龙》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契诃夫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《钢铁是怎样炼成的》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奥斯特洛夫斯基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《静静的顿河》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肖洛霍夫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《坎特伯雷故事集》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乔叟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《随笔集》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培根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《仲夏夜之梦》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莎士比亚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《威尼斯商人》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莎士比亚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《第十二夜》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莎士比亚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《罗密欧与朱丽叶》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莎士比亚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《哈姆雷特》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莎士比亚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《奥赛罗》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莎士比亚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《李尔王》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莎士比亚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《麦克白》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莎士比亚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《暴风雨》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莎士比亚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《鲁滨逊漂流记》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笛福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《失乐园》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弥尔顿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《唐璜》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拜伦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《西风颂》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雪莱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《双城记》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狄更斯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《雾都孤儿》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狄更斯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《德伯家的苔丝》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哈代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《简·爱》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勃朗特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《圣女贞德》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萧伯纳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《华伦夫人的职业》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萧伯纳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《红字》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霍桑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《汤姆叔叔的小屋》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斯托夫人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《瓦尔登湖》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梭罗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《草叶集》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惠特曼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《百万英镑》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马克·吐温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《汤姆·索亚历险记》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马克·吐温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《嘉莉妹妹》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德莱塞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《美国悲剧》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德莱塞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《热爱生命》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杰克·伦敦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《海狼》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杰克·伦敦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《野性的呼唤》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杰克·伦敦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《老人与海》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海明威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《浮士德》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歌德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《少年维特之烦恼》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歌德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《诗歌集》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海涅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《罗曼采罗》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海涅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《阴谋与爱情》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席勒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《巨人传》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拉伯雷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《拉·封丹寓言》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拉·封丹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《伪君子》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莫里哀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《悭吝人》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莫里哀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《人间喜剧》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巴尔扎克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《红与黑》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司汤达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《悲惨世界》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雨果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《九三年》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雨果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《基督山伯爵》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大仲马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《安蒂亚娜》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乔治·桑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法国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《包法利夫人》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福楼拜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《茶花女》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小仲马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《羊脂球》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莫泊桑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《约翰·克里斯朵夫》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罗曼罗兰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《局外人》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加缪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《神曲》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但丁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《十日谈》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薄伽丘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《犁俱吠陀》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《阿达婆吠陀》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《娑摩吠陀》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3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《夜柔吠陀》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印度</w:t>
            </w:r>
          </w:p>
        </w:tc>
      </w:tr>
    </w:tbl>
    <w:p>
      <w:pPr>
        <w:widowControl/>
        <w:pBdr>
          <w:top w:val="single" w:color="auto" w:sz="6" w:space="1"/>
        </w:pBdr>
        <w:jc w:val="center"/>
        <w:rPr>
          <w:rFonts w:hint="eastAsia" w:ascii="Arial" w:hAnsi="Arial" w:eastAsia="宋体" w:cs="Arial"/>
          <w:kern w:val="0"/>
          <w:sz w:val="28"/>
          <w:szCs w:val="28"/>
        </w:rPr>
      </w:pPr>
    </w:p>
    <w:p>
      <w:pPr>
        <w:widowControl/>
        <w:pBdr>
          <w:bottom w:val="single" w:color="auto" w:sz="6" w:space="1"/>
        </w:pBdr>
        <w:jc w:val="center"/>
        <w:rPr>
          <w:rFonts w:hint="eastAsia" w:ascii="Arial" w:hAnsi="Arial" w:eastAsia="宋体" w:cs="Arial"/>
          <w:vanish/>
          <w:kern w:val="0"/>
          <w:sz w:val="28"/>
          <w:szCs w:val="28"/>
        </w:rPr>
      </w:pPr>
      <w:r>
        <w:rPr>
          <w:rFonts w:hint="eastAsia" w:ascii="Arial" w:hAnsi="Arial" w:eastAsia="宋体" w:cs="Arial"/>
          <w:vanish/>
          <w:kern w:val="0"/>
          <w:sz w:val="28"/>
          <w:szCs w:val="28"/>
        </w:rPr>
        <w:t>窗体顶端</w:t>
      </w:r>
    </w:p>
    <w:p>
      <w:pPr>
        <w:widowControl/>
        <w:shd w:val="clear" w:color="auto" w:fill="FFFFFF"/>
        <w:spacing w:after="90" w:line="345" w:lineRule="atLeast"/>
        <w:ind w:firstLine="480"/>
        <w:jc w:val="center"/>
        <w:rPr>
          <w:rFonts w:hint="eastAsia" w:ascii="宋体" w:hAnsi="宋体" w:eastAsia="宋体" w:cs="宋体"/>
          <w:color w:val="595959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595959"/>
          <w:kern w:val="0"/>
          <w:sz w:val="28"/>
          <w:szCs w:val="28"/>
        </w:rPr>
        <w:t>— 哲学 —</w:t>
      </w:r>
    </w:p>
    <w:tbl>
      <w:tblPr>
        <w:tblStyle w:val="6"/>
        <w:tblW w:w="83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1399"/>
        <w:gridCol w:w="161"/>
        <w:gridCol w:w="3402"/>
        <w:gridCol w:w="1984"/>
        <w:gridCol w:w="13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9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9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9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9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国别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《周易》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姬昌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《老子》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李耳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《论语》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孔子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《尚书》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孔子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《大学》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曾子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《中庸》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子思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《孟子》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孟子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《管子》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管仲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《庄子》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庄子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《墨子》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墨子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《荀子》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荀况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《尹文子》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尹文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《韩非子》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韩非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《黄帝内经》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《淮南子》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刘安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《礼记》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戴德、戴圣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《论衡》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王充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《二程集》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"http://baike.baidu.com/view/80397.htm"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程颢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、</w:t>
            </w:r>
            <w:r>
              <w:fldChar w:fldCharType="begin"/>
            </w:r>
            <w:r>
              <w:instrText xml:space="preserve"> HYPERLINK "http://baike.baidu.com/view/80386.htm"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程颐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《朱子语类》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朱熹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《治心经》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曾国藩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《毛泽东选集》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毛泽东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《迷悟之间》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星云大师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《百年佛缘》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星云大师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《唯物主义和经验批判主义》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列宁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《帝国主义论》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列宁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《谈谈辩证法问题》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列宁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《乌托邦》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托马斯·莫尔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《马克思主义：赞成与反对》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海尔布隆纳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《神义论》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莱布尼茨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《单子论》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莱布尼茨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《纯粹理性批判》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康德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《实践理性批判》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康德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《判断力批判》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康德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《法哲学原理》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黑格尔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《精神现象学》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黑格尔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《逻辑学》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黑格尔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《黑格尔哲学的批判》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费尔巴哈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《基督教的本质》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费尔巴哈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《共产党宣言》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马克思、恩格斯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《1844年经济学哲学手稿》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马克思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《哥达纲领批判》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马克思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《反杜林论》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恩格斯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《历史的起源与目标》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雅思贝尔斯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《存在与时间》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海德格尔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《林中路》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海德格尔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《单向度的人》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马尔库塞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《蒙田随笔全集》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蒙田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《形而上学论》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伏尔泰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《百科全书》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狄德罗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《一个日内瓦居民给当代人的信》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圣西门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《关于四种运动和普遍命运的理论》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傅立叶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《存在与虚无》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萨特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《理想国》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柏拉图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古希腊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Before w:val="1"/>
          <w:gridAfter w:val="4"/>
          <w:wBefore w:w="8" w:type="dxa"/>
          <w:wAfter w:w="6915" w:type="dxa"/>
        </w:trPr>
        <w:tc>
          <w:tcPr>
            <w:tcW w:w="1399" w:type="dxa"/>
          </w:tcPr>
          <w:p>
            <w:pPr>
              <w:widowControl/>
              <w:spacing w:line="384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after="100" w:line="385" w:lineRule="atLeast"/>
        <w:ind w:firstLine="480"/>
        <w:rPr>
          <w:rFonts w:hint="eastAsia" w:ascii="黑体" w:hAnsi="黑体" w:eastAsia="黑体" w:cs="宋体"/>
          <w:b/>
          <w:bCs/>
          <w:color w:val="595959"/>
          <w:kern w:val="0"/>
          <w:sz w:val="28"/>
          <w:szCs w:val="28"/>
        </w:rPr>
      </w:pPr>
    </w:p>
    <w:p>
      <w:pPr>
        <w:widowControl/>
        <w:shd w:val="clear" w:color="auto" w:fill="FFFFFF"/>
        <w:spacing w:after="100" w:line="385" w:lineRule="atLeast"/>
        <w:ind w:firstLine="480"/>
        <w:jc w:val="center"/>
        <w:rPr>
          <w:rFonts w:hint="eastAsia" w:ascii="宋体" w:hAnsi="宋体" w:eastAsia="宋体" w:cs="宋体"/>
          <w:color w:val="595959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b/>
          <w:bCs/>
          <w:color w:val="595959"/>
          <w:kern w:val="0"/>
          <w:sz w:val="28"/>
          <w:szCs w:val="28"/>
        </w:rPr>
        <w:t>—历史—</w:t>
      </w:r>
    </w:p>
    <w:bookmarkEnd w:id="0"/>
    <w:tbl>
      <w:tblPr>
        <w:tblStyle w:val="6"/>
        <w:tblW w:w="83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3686"/>
        <w:gridCol w:w="2410"/>
        <w:gridCol w:w="10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书名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国别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《史记》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司马迁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《逸周书》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《左传》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左丘明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《国语》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左丘明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《晏子春秋》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晏婴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《战国策》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刘向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《吕氏春秋》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吕不韦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《汉书》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班固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《三国志》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陈寿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《后汉书》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范晔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《旧唐书》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刘昫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《新唐书》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宋祁、欧阳修等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《新五代史》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欧阳修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《资治通鉴》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司马光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《苦难辉煌》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金一南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《中国科技史》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李约瑟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《旧制度与大革命》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托克维尔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</w:tbl>
    <w:p>
      <w:pPr>
        <w:widowControl/>
        <w:pBdr>
          <w:top w:val="single" w:color="auto" w:sz="6" w:space="1"/>
        </w:pBdr>
        <w:jc w:val="center"/>
        <w:rPr>
          <w:rFonts w:hint="eastAsia" w:ascii="Arial" w:hAnsi="Arial" w:eastAsia="宋体" w:cs="Arial"/>
          <w:kern w:val="0"/>
          <w:sz w:val="28"/>
          <w:szCs w:val="28"/>
        </w:rPr>
      </w:pPr>
    </w:p>
    <w:p>
      <w:pPr>
        <w:widowControl/>
        <w:shd w:val="clear" w:color="auto" w:fill="FFFFFF"/>
        <w:spacing w:after="100" w:line="385" w:lineRule="atLeast"/>
        <w:ind w:firstLine="480"/>
        <w:jc w:val="center"/>
        <w:rPr>
          <w:rFonts w:hint="eastAsia" w:ascii="宋体" w:hAnsi="宋体" w:eastAsia="宋体" w:cs="宋体"/>
          <w:color w:val="595959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595959"/>
          <w:kern w:val="0"/>
          <w:sz w:val="28"/>
          <w:szCs w:val="28"/>
        </w:rPr>
        <w:t>—政治与经济—</w:t>
      </w:r>
    </w:p>
    <w:tbl>
      <w:tblPr>
        <w:tblStyle w:val="6"/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3725"/>
        <w:gridCol w:w="2348"/>
        <w:gridCol w:w="11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书名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国别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《孙子兵法》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孙武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《申鉴》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荀悦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《帝范》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李世民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《贞观政要》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吴兢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《官箴》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吕本中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《潜书》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唐甄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《格言联璧》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金缨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《寤言》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陈澹然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《政府论》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洛克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《国民财富的性质和原因的研究》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亚当·斯密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《人口原理》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马尔萨斯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《就业、利息和货币通论》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凯恩斯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《常识》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托马斯·潘恩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《联邦党人文集》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汉密尔顿、杰伊等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《经济发展理论》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熊彼特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《各国的经济增长》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西蒙·库兹涅茨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《资本主义与自由》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弗里德曼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《经济学》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萨缪尔森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《世界秩序》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基辛格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《战争论》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克劳塞维茨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《资本论》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马克思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《政治经济学批判》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马克思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《社会契约论》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卢梭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《论法的精神》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孟德斯鸠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《21世纪资本论》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托马斯·皮凯蒂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《政治学》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亚里士多德</w:t>
            </w: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after="100" w:line="384" w:lineRule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古希腊</w:t>
            </w:r>
          </w:p>
        </w:tc>
      </w:tr>
    </w:tbl>
    <w:p>
      <w:pPr>
        <w:widowControl/>
        <w:pBdr>
          <w:top w:val="single" w:color="auto" w:sz="6" w:space="1"/>
        </w:pBdr>
        <w:rPr>
          <w:rFonts w:hint="eastAsia" w:ascii="Arial" w:hAnsi="Arial" w:eastAsia="宋体" w:cs="Arial"/>
          <w:vanish/>
          <w:kern w:val="0"/>
          <w:sz w:val="28"/>
          <w:szCs w:val="28"/>
        </w:rPr>
      </w:pPr>
      <w:r>
        <w:rPr>
          <w:rFonts w:hint="eastAsia" w:ascii="Arial" w:hAnsi="Arial" w:eastAsia="宋体" w:cs="Arial"/>
          <w:vanish/>
          <w:kern w:val="0"/>
          <w:sz w:val="28"/>
          <w:szCs w:val="28"/>
        </w:rPr>
        <w:t>窗体底端</w:t>
      </w:r>
    </w:p>
    <w:p>
      <w:pPr>
        <w:widowControl/>
        <w:pBdr>
          <w:top w:val="single" w:color="auto" w:sz="6" w:space="1"/>
        </w:pBdr>
        <w:jc w:val="center"/>
        <w:rPr>
          <w:rFonts w:hint="eastAsia" w:ascii="Arial" w:hAnsi="Arial" w:eastAsia="宋体" w:cs="Arial"/>
          <w:vanish/>
          <w:kern w:val="0"/>
          <w:sz w:val="28"/>
          <w:szCs w:val="28"/>
        </w:rPr>
      </w:pPr>
      <w:r>
        <w:rPr>
          <w:rFonts w:hint="eastAsia" w:ascii="Arial" w:hAnsi="Arial" w:eastAsia="宋体" w:cs="Arial"/>
          <w:vanish/>
          <w:kern w:val="0"/>
          <w:sz w:val="28"/>
          <w:szCs w:val="28"/>
        </w:rPr>
        <w:t>窗体底端</w:t>
      </w:r>
    </w:p>
    <w:p>
      <w:pPr>
        <w:widowControl/>
        <w:pBdr>
          <w:top w:val="single" w:color="auto" w:sz="6" w:space="1"/>
        </w:pBdr>
        <w:jc w:val="center"/>
        <w:rPr>
          <w:rFonts w:hint="eastAsia" w:ascii="Arial" w:hAnsi="Arial" w:eastAsia="宋体" w:cs="Arial"/>
          <w:vanish/>
          <w:kern w:val="0"/>
          <w:sz w:val="28"/>
          <w:szCs w:val="28"/>
        </w:rPr>
      </w:pPr>
      <w:r>
        <w:rPr>
          <w:rFonts w:hint="eastAsia" w:ascii="Arial" w:hAnsi="Arial" w:eastAsia="宋体" w:cs="Arial"/>
          <w:vanish/>
          <w:kern w:val="0"/>
          <w:sz w:val="28"/>
          <w:szCs w:val="28"/>
        </w:rPr>
        <w:t>窗体底端</w:t>
      </w:r>
    </w:p>
    <w:p>
      <w:pPr>
        <w:widowControl/>
        <w:pBdr>
          <w:top w:val="single" w:color="auto" w:sz="6" w:space="1"/>
        </w:pBdr>
        <w:jc w:val="center"/>
        <w:rPr>
          <w:rFonts w:hint="eastAsia" w:ascii="Arial" w:hAnsi="Arial" w:eastAsia="宋体" w:cs="Arial"/>
          <w:vanish/>
          <w:kern w:val="0"/>
          <w:sz w:val="28"/>
          <w:szCs w:val="28"/>
        </w:rPr>
      </w:pPr>
      <w:r>
        <w:rPr>
          <w:rFonts w:hint="eastAsia" w:ascii="Arial" w:hAnsi="Arial" w:eastAsia="宋体" w:cs="Arial"/>
          <w:vanish/>
          <w:kern w:val="0"/>
          <w:sz w:val="28"/>
          <w:szCs w:val="28"/>
        </w:rPr>
        <w:t>窗体底端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AC3"/>
    <w:rsid w:val="00232D35"/>
    <w:rsid w:val="00AB7AC3"/>
    <w:rsid w:val="00EA79F2"/>
    <w:rsid w:val="00F00BE9"/>
    <w:rsid w:val="2E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after="100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3F3F3F"/>
      <w:u w:val="none"/>
    </w:rPr>
  </w:style>
  <w:style w:type="character" w:customStyle="1" w:styleId="7">
    <w:name w:val="fontstyle429971"/>
    <w:basedOn w:val="4"/>
    <w:uiPriority w:val="0"/>
    <w:rPr>
      <w:color w:val="222222"/>
      <w:sz w:val="18"/>
      <w:szCs w:val="18"/>
      <w:u w:val="none"/>
    </w:rPr>
  </w:style>
  <w:style w:type="character" w:customStyle="1" w:styleId="8">
    <w:name w:val="splitflagstyle429971"/>
    <w:basedOn w:val="4"/>
    <w:uiPriority w:val="0"/>
    <w:rPr>
      <w:color w:val="222222"/>
    </w:rPr>
  </w:style>
  <w:style w:type="paragraph" w:customStyle="1" w:styleId="9">
    <w:name w:val="HTML Top of Form"/>
    <w:basedOn w:val="1"/>
    <w:next w:val="1"/>
    <w:link w:val="10"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0">
    <w:name w:val="z-窗体顶端 Char"/>
    <w:basedOn w:val="4"/>
    <w:link w:val="9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1">
    <w:name w:val="HTML Bottom of Form"/>
    <w:basedOn w:val="1"/>
    <w:next w:val="1"/>
    <w:link w:val="12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2">
    <w:name w:val="z-窗体底端 Char"/>
    <w:basedOn w:val="4"/>
    <w:link w:val="11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591</Words>
  <Characters>3371</Characters>
  <Lines>28</Lines>
  <Paragraphs>7</Paragraphs>
  <TotalTime>0</TotalTime>
  <ScaleCrop>false</ScaleCrop>
  <LinksUpToDate>false</LinksUpToDate>
  <CharactersWithSpaces>3955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2017-04-05T07:06:00Z</dcterms:created>
  <dc:creator>j</dc:creator>
  <cp:lastModifiedBy>Administrator</cp:lastModifiedBy>
  <dcterms:modified xsi:type="dcterms:W3CDTF">2017-10-12T02:26:13Z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